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relaxngDatatype 2011.1</w:t>
      </w:r>
    </w:p>
    <w:p>
      <w:pPr/>
      <w:r>
        <w:rPr>
          <w:rStyle w:val="13"/>
          <w:rFonts w:ascii="Arial" w:hAnsi="Arial"/>
          <w:b/>
        </w:rPr>
        <w:t xml:space="preserve">Copyright notice: </w:t>
      </w:r>
    </w:p>
    <w:p>
      <w:pPr/>
      <w:r>
        <w:rPr>
          <w:rStyle w:val="13"/>
          <w:rFonts w:ascii="宋体" w:hAnsi="宋体"/>
          <w:sz w:val="22"/>
        </w:rPr>
        <w:t>Copyright (c) 2001, Thai Open Source Software Center Ltd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