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AD400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27DB9BC" w14:textId="77777777" w:rsidR="00D63F71" w:rsidRDefault="00D63F71">
      <w:pPr>
        <w:spacing w:line="420" w:lineRule="exact"/>
        <w:jc w:val="center"/>
        <w:rPr>
          <w:rFonts w:ascii="Arial" w:hAnsi="Arial" w:cs="Arial"/>
          <w:b/>
          <w:snapToGrid/>
          <w:sz w:val="32"/>
          <w:szCs w:val="32"/>
        </w:rPr>
      </w:pPr>
    </w:p>
    <w:p w14:paraId="5C4B4AC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F81445B" w14:textId="77777777" w:rsidR="00B93B3B" w:rsidRPr="00B93B3B" w:rsidRDefault="00B93B3B" w:rsidP="00B93B3B">
      <w:pPr>
        <w:spacing w:line="420" w:lineRule="exact"/>
        <w:jc w:val="both"/>
        <w:rPr>
          <w:rFonts w:ascii="Arial" w:hAnsi="Arial" w:cs="Arial"/>
          <w:snapToGrid/>
        </w:rPr>
      </w:pPr>
    </w:p>
    <w:p w14:paraId="2D28458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CFF35A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5BA7F64" w14:textId="77777777" w:rsidR="00D63F71" w:rsidRDefault="00D63F71">
      <w:pPr>
        <w:spacing w:line="420" w:lineRule="exact"/>
        <w:jc w:val="both"/>
        <w:rPr>
          <w:rFonts w:ascii="Arial" w:hAnsi="Arial" w:cs="Arial"/>
          <w:i/>
          <w:snapToGrid/>
          <w:color w:val="0099FF"/>
          <w:sz w:val="18"/>
          <w:szCs w:val="18"/>
        </w:rPr>
      </w:pPr>
    </w:p>
    <w:p w14:paraId="3EB607D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8581EF1" w14:textId="77777777" w:rsidR="00D63F71" w:rsidRDefault="00D63F71">
      <w:pPr>
        <w:pStyle w:val="aa"/>
        <w:spacing w:before="0" w:after="0" w:line="240" w:lineRule="auto"/>
        <w:jc w:val="left"/>
        <w:rPr>
          <w:rFonts w:ascii="Arial" w:hAnsi="Arial" w:cs="Arial"/>
          <w:bCs w:val="0"/>
          <w:sz w:val="21"/>
          <w:szCs w:val="21"/>
        </w:rPr>
      </w:pPr>
    </w:p>
    <w:p w14:paraId="17A8013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dyninst 12.3.0</w:t>
      </w:r>
    </w:p>
    <w:p w14:paraId="2343192F" w14:textId="77777777" w:rsidR="00D63F71" w:rsidRDefault="005D0DE9">
      <w:pPr>
        <w:rPr>
          <w:rFonts w:ascii="Arial" w:hAnsi="Arial" w:cs="Arial"/>
          <w:b/>
        </w:rPr>
      </w:pPr>
      <w:r>
        <w:rPr>
          <w:rFonts w:ascii="Arial" w:hAnsi="Arial" w:cs="Arial"/>
          <w:b/>
        </w:rPr>
        <w:t xml:space="preserve">Copyright notice: </w:t>
      </w:r>
    </w:p>
    <w:p w14:paraId="6029EC20" w14:textId="47F3D818" w:rsidR="00D63F71" w:rsidRDefault="005D0DE9">
      <w:pPr>
        <w:pStyle w:val="Default"/>
        <w:rPr>
          <w:rFonts w:ascii="宋体" w:hAnsi="宋体" w:cs="宋体"/>
          <w:sz w:val="22"/>
          <w:szCs w:val="22"/>
        </w:rPr>
      </w:pPr>
      <w:r>
        <w:rPr>
          <w:rFonts w:ascii="宋体" w:hAnsi="宋体"/>
          <w:sz w:val="22"/>
        </w:rPr>
        <w:t>Copyright (c) 2012-2013, Lawrence Livermore National Security, LLC. Produced at the Lawrence Livermore National Laboratory. Written by Matthew LeGendre (legendre1 at llnl dot gov). LLNL-CODE-559291. All rights reserved.</w:t>
      </w:r>
      <w:r>
        <w:rPr>
          <w:rFonts w:ascii="宋体" w:hAnsi="宋体"/>
          <w:sz w:val="22"/>
        </w:rPr>
        <w:br/>
        <w:t>Copyright (c) 2005, 2006, 2007, Regents of the University of California All rights reserved.</w:t>
      </w:r>
      <w:r>
        <w:rPr>
          <w:rFonts w:ascii="宋体" w:hAnsi="宋体"/>
          <w:sz w:val="22"/>
        </w:rPr>
        <w:br/>
        <w:t>Copyright (c) 2003-2008, Terence Parr All rights reserved.</w:t>
      </w:r>
      <w:r>
        <w:rPr>
          <w:rFonts w:ascii="宋体" w:hAnsi="宋体"/>
          <w:sz w:val="22"/>
        </w:rPr>
        <w:br/>
        <w:t>Author: Bill Williams &lt;bill@follis.cs.wisc.edu&gt;, (C) 2010</w:t>
      </w:r>
      <w:r>
        <w:rPr>
          <w:rFonts w:ascii="宋体" w:hAnsi="宋体"/>
          <w:sz w:val="22"/>
        </w:rPr>
        <w:br/>
        <w:t>Copyright 2010 Kitware, Inc.</w:t>
      </w:r>
      <w:r>
        <w:rPr>
          <w:rFonts w:ascii="宋体" w:hAnsi="宋体"/>
          <w:sz w:val="22"/>
        </w:rPr>
        <w:br/>
        <w:t>Copyright Microsoft Corporation.  All Rights Reserved.</w:t>
      </w:r>
      <w:r>
        <w:rPr>
          <w:rFonts w:ascii="宋体" w:hAnsi="宋体"/>
          <w:sz w:val="22"/>
        </w:rPr>
        <w:br/>
        <w:t>Copyright (C) 1984, 1989-1990, 2000-2015 Free Software Foundation, Inc.</w:t>
      </w:r>
      <w:r>
        <w:rPr>
          <w:rFonts w:ascii="宋体" w:hAnsi="宋体"/>
          <w:sz w:val="22"/>
        </w:rPr>
        <w:br/>
        <w:t>Copyright (C) 2007-2008 Antony Dovgal This software is provided as-is, without any express or implied warranty.</w:t>
      </w:r>
      <w:r>
        <w:rPr>
          <w:rFonts w:ascii="宋体" w:hAnsi="宋体"/>
          <w:sz w:val="22"/>
        </w:rPr>
        <w:br/>
        <w:t>Copyright (c) 2015 Microsoft Corporation. All rights reserved.</w:t>
      </w:r>
      <w:r>
        <w:rPr>
          <w:rFonts w:ascii="宋体" w:hAnsi="宋体"/>
          <w:sz w:val="22"/>
        </w:rPr>
        <w:br/>
        <w:t>Copyright (C) 1999-2006 Takeshi Kanno</w:t>
      </w:r>
      <w:r>
        <w:rPr>
          <w:rFonts w:ascii="宋体" w:hAnsi="宋体"/>
          <w:sz w:val="22"/>
        </w:rPr>
        <w:br/>
        <w:t>Copyright (C) {year} {fullname}</w:t>
      </w:r>
      <w:r>
        <w:rPr>
          <w:rFonts w:ascii="宋体" w:hAnsi="宋体"/>
          <w:sz w:val="22"/>
        </w:rPr>
        <w:br/>
        <w:t>Copyright (c) 1996-2023 Barton P. Miller</w:t>
      </w:r>
      <w:r>
        <w:rPr>
          <w:rFonts w:ascii="宋体" w:hAnsi="宋体"/>
          <w:sz w:val="22"/>
        </w:rPr>
        <w:br/>
        <w:t>Copyright (c) 2006 Alexander Chemeris</w:t>
      </w:r>
      <w:r>
        <w:rPr>
          <w:rFonts w:ascii="宋体" w:hAnsi="宋体"/>
          <w:sz w:val="22"/>
        </w:rPr>
        <w:br/>
      </w:r>
      <w:r>
        <w:rPr>
          <w:rFonts w:ascii="宋体" w:hAnsi="宋体"/>
          <w:sz w:val="22"/>
        </w:rPr>
        <w:lastRenderedPageBreak/>
        <w:t>Copyright (c) 2006-2008 Alexander Chemeris</w:t>
      </w:r>
      <w:r>
        <w:rPr>
          <w:rFonts w:ascii="宋体" w:hAnsi="宋体"/>
          <w:sz w:val="22"/>
        </w:rPr>
        <w:br/>
        <w:t>Copyright (C) 2015 Alin Mindroc (mindroc dot alin at gmail dot com)</w:t>
      </w:r>
      <w:r>
        <w:rPr>
          <w:rFonts w:ascii="宋体" w:hAnsi="宋体"/>
          <w:sz w:val="22"/>
        </w:rPr>
        <w:br/>
        <w:t>Copyright (C) 1991, 1999 Free Software Foundation, Inc.</w:t>
      </w:r>
      <w:r>
        <w:rPr>
          <w:rFonts w:ascii="宋体" w:hAnsi="宋体"/>
          <w:sz w:val="22"/>
        </w:rPr>
        <w:br/>
        <w:t>Copyright (c) 2005, 2006, 2007, Regents of the University of California License for original version: All rights reserved.</w:t>
      </w:r>
      <w:r>
        <w:rPr>
          <w:rFonts w:ascii="宋体" w:hAnsi="宋体"/>
          <w:sz w:val="22"/>
        </w:rPr>
        <w:br/>
      </w:r>
    </w:p>
    <w:p w14:paraId="43546F7A" w14:textId="77777777" w:rsidR="00D63F71" w:rsidRDefault="005D0DE9">
      <w:pPr>
        <w:pStyle w:val="Default"/>
        <w:rPr>
          <w:rFonts w:ascii="宋体" w:hAnsi="宋体" w:cs="宋体"/>
          <w:sz w:val="22"/>
          <w:szCs w:val="22"/>
        </w:rPr>
      </w:pPr>
      <w:r>
        <w:rPr>
          <w:b/>
        </w:rPr>
        <w:t xml:space="preserve">License: </w:t>
      </w:r>
      <w:r>
        <w:rPr>
          <w:sz w:val="21"/>
        </w:rPr>
        <w:t>LGPLv2+</w:t>
      </w:r>
    </w:p>
    <w:p w14:paraId="19456BB9"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w:t>
      </w:r>
      <w:r>
        <w:rPr>
          <w:rFonts w:ascii="Times New Roman" w:hAnsi="Times New Roman"/>
          <w:sz w:val="21"/>
        </w:rPr>
        <w:lastRenderedPageBreak/>
        <w:t>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 xml:space="preserve">Note that it is possible for a library to be covered by the ordinary General Public License rather than by this special </w:t>
      </w:r>
      <w:r>
        <w:rPr>
          <w:rFonts w:ascii="Times New Roman" w:hAnsi="Times New Roman"/>
          <w:sz w:val="21"/>
        </w:rPr>
        <w:lastRenderedPageBreak/>
        <w:t>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If a facility in the modified Library refers to a function or a table of data to be supplied by an application program that uses the facility, other than as an argument passed when the facility is invoked, then you must make a </w:t>
      </w:r>
      <w:r>
        <w:rPr>
          <w:rFonts w:ascii="Times New Roman" w:hAnsi="Times New Roman"/>
          <w:sz w:val="21"/>
        </w:rPr>
        <w:lastRenderedPageBreak/>
        <w:t>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r>
      <w:r>
        <w:rPr>
          <w:rFonts w:ascii="Times New Roman" w:hAnsi="Times New Roman"/>
          <w:sz w:val="21"/>
        </w:rPr>
        <w:lastRenderedPageBreak/>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w:t>
      </w:r>
      <w:r>
        <w:rPr>
          <w:rFonts w:ascii="Times New Roman" w:hAnsi="Times New Roman"/>
          <w:sz w:val="21"/>
        </w:rPr>
        <w:lastRenderedPageBreak/>
        <w:t>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w:t>
      </w:r>
      <w:r>
        <w:rPr>
          <w:rFonts w:ascii="Times New Roman" w:hAnsi="Times New Roman"/>
          <w:sz w:val="21"/>
        </w:rPr>
        <w:lastRenderedPageBreak/>
        <w:t>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174247DD"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4CBB0D7"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54C13D9"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2A273A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2638BC" w14:textId="77777777" w:rsidR="00EA4650" w:rsidRDefault="00EA4650">
      <w:pPr>
        <w:spacing w:line="240" w:lineRule="auto"/>
      </w:pPr>
      <w:r>
        <w:separator/>
      </w:r>
    </w:p>
  </w:endnote>
  <w:endnote w:type="continuationSeparator" w:id="0">
    <w:p w14:paraId="7F9E03B0" w14:textId="77777777" w:rsidR="00EA4650" w:rsidRDefault="00EA46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15F94C3" w14:textId="77777777">
      <w:tc>
        <w:tcPr>
          <w:tcW w:w="1542" w:type="pct"/>
        </w:tcPr>
        <w:p w14:paraId="1D1378B9" w14:textId="77777777" w:rsidR="00D63F71" w:rsidRDefault="005D0DE9">
          <w:pPr>
            <w:pStyle w:val="a8"/>
          </w:pPr>
          <w:r>
            <w:fldChar w:fldCharType="begin"/>
          </w:r>
          <w:r>
            <w:instrText xml:space="preserve"> DATE \@ "yyyy-MM-dd" </w:instrText>
          </w:r>
          <w:r>
            <w:fldChar w:fldCharType="separate"/>
          </w:r>
          <w:r w:rsidR="00381E1F">
            <w:rPr>
              <w:noProof/>
            </w:rPr>
            <w:t>2024-05-20</w:t>
          </w:r>
          <w:r>
            <w:fldChar w:fldCharType="end"/>
          </w:r>
        </w:p>
      </w:tc>
      <w:tc>
        <w:tcPr>
          <w:tcW w:w="1853" w:type="pct"/>
        </w:tcPr>
        <w:p w14:paraId="0F0B1DB6" w14:textId="77777777" w:rsidR="00D63F71" w:rsidRDefault="00D63F71">
          <w:pPr>
            <w:pStyle w:val="a8"/>
            <w:ind w:firstLineChars="200" w:firstLine="360"/>
          </w:pPr>
        </w:p>
      </w:tc>
      <w:tc>
        <w:tcPr>
          <w:tcW w:w="1605" w:type="pct"/>
        </w:tcPr>
        <w:p w14:paraId="387F940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A4650">
            <w:fldChar w:fldCharType="begin"/>
          </w:r>
          <w:r w:rsidR="00EA4650">
            <w:instrText xml:space="preserve"> NUMPAGES  \* Arabic  \* MERGEFORMAT </w:instrText>
          </w:r>
          <w:r w:rsidR="00EA4650">
            <w:fldChar w:fldCharType="separate"/>
          </w:r>
          <w:r w:rsidR="00B93B3B">
            <w:rPr>
              <w:noProof/>
            </w:rPr>
            <w:t>1</w:t>
          </w:r>
          <w:r w:rsidR="00EA4650">
            <w:rPr>
              <w:noProof/>
            </w:rPr>
            <w:fldChar w:fldCharType="end"/>
          </w:r>
        </w:p>
      </w:tc>
    </w:tr>
  </w:tbl>
  <w:p w14:paraId="1ADAAEB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96010" w14:textId="77777777" w:rsidR="00EA4650" w:rsidRDefault="00EA4650">
      <w:r>
        <w:separator/>
      </w:r>
    </w:p>
  </w:footnote>
  <w:footnote w:type="continuationSeparator" w:id="0">
    <w:p w14:paraId="35B4C129" w14:textId="77777777" w:rsidR="00EA4650" w:rsidRDefault="00EA46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E2D05BB" w14:textId="77777777">
      <w:trPr>
        <w:cantSplit/>
        <w:trHeight w:hRule="exact" w:val="777"/>
      </w:trPr>
      <w:tc>
        <w:tcPr>
          <w:tcW w:w="492" w:type="pct"/>
          <w:tcBorders>
            <w:bottom w:val="single" w:sz="6" w:space="0" w:color="auto"/>
          </w:tcBorders>
        </w:tcPr>
        <w:p w14:paraId="162BF205" w14:textId="77777777" w:rsidR="00D63F71" w:rsidRDefault="00D63F71">
          <w:pPr>
            <w:pStyle w:val="a9"/>
          </w:pPr>
        </w:p>
        <w:p w14:paraId="2EF074D2" w14:textId="77777777" w:rsidR="00D63F71" w:rsidRDefault="00D63F71">
          <w:pPr>
            <w:ind w:left="420"/>
          </w:pPr>
        </w:p>
      </w:tc>
      <w:tc>
        <w:tcPr>
          <w:tcW w:w="3283" w:type="pct"/>
          <w:tcBorders>
            <w:bottom w:val="single" w:sz="6" w:space="0" w:color="auto"/>
          </w:tcBorders>
          <w:vAlign w:val="bottom"/>
        </w:tcPr>
        <w:p w14:paraId="59BE6F4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9C10D6D" w14:textId="77777777" w:rsidR="00D63F71" w:rsidRDefault="00D63F71">
          <w:pPr>
            <w:pStyle w:val="a9"/>
            <w:ind w:firstLine="33"/>
          </w:pPr>
        </w:p>
      </w:tc>
    </w:tr>
  </w:tbl>
  <w:p w14:paraId="2041CFF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1E1F"/>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650"/>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D2D2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4118</Words>
  <Characters>23474</Characters>
  <Application>Microsoft Office Word</Application>
  <DocSecurity>0</DocSecurity>
  <Lines>195</Lines>
  <Paragraphs>55</Paragraphs>
  <ScaleCrop>false</ScaleCrop>
  <Company>Huawei Technologies Co.,Ltd.</Company>
  <LinksUpToDate>false</LinksUpToDate>
  <CharactersWithSpaces>27537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