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bwa 0.7.19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2011 by Attractive Chaos &lt;attractor@live.co.uk&gt;</w:t>
        <w:br/>
        <w:t>Copyright (c) 2008, 2009, 2011 Attractive Chaos &lt;attractor@live.co.uk&gt;</w:t>
        <w:br/>
        <w:t>Copyright (c) 2018- Dana-Farber Cancer Institute 2009-2018 Broad Institute, Inc.</w:t>
        <w:br/>
        <w:t>Copyright (c) 2011 by Attractive Chaos &lt;attractor@live.co.uk&gt;</w:t>
        <w:br/>
        <w:t>Copyright (c) 2008 Yuta Mori All Rights Reserved.</w:t>
        <w:br/>
        <w:t>Copyright (c) 2007 Free Software Foundation, Inc. &lt;http:fsf.org/&gt;</w:t>
        <w:br/>
        <w:t>Copyright (c) 2008, by Attractive Chaos &lt;attractivechaos@aol.co.uk&gt;</w:t>
        <w:br/>
        <w:t>Copyright (c) 2004, Wong Chi Kwong.</w:t>
        <w:br/>
        <w:t>Copyright 1999, N. Jesper Larsson, all rights reserved.</w:t>
        <w:br/>
        <w:t>Copyright 1997-1999, 2001, John-Mark Gurney.</w:t>
        <w:br/>
        <w:t>Copyright (c) 2008, by Attractive Chaos &lt;attractor@live.co.uk&gt;</w:t>
        <w:br/>
        <w:t>Copyright (c) 2008 Genome Research Ltd (GRL).</w:t>
        <w:br/>
      </w:r>
    </w:p>
    <w:p>
      <w:pPr>
        <w:spacing w:line="420" w:lineRule="exact"/>
        <w:rPr>
          <w:rFonts w:hint="eastAsia"/>
        </w:rPr>
      </w:pPr>
      <w:r>
        <w:rPr>
          <w:rFonts w:ascii="Arial" w:hAnsi="Arial"/>
          <w:b/>
          <w:sz w:val="24"/>
        </w:rPr>
        <w:t xml:space="preserve">License: </w:t>
      </w:r>
      <w:r>
        <w:rPr>
          <w:rFonts w:ascii="Arial" w:hAnsi="Arial"/>
          <w:sz w:val="21"/>
        </w:rPr>
        <w:t>GPLv3 and MIT</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