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nodejs-boom 10.0.1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2012-2014, Walmart.</w:t>
        <w:br/>
        <w:t>Copyright (c) 2012-2022, Project contributors</w:t>
        <w:br/>
        <w:t>Copyright (c) 2012-2020, Sideway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