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2014 Stuart McCulloch All rights reserved. This program and the accompanying materials are made available under the terms of the Eclipse Public License v1.0</w:t>
        <w:br/>
        <w:t>Copyright (c) 2014 Takari, Inc.</w:t>
        <w:br/>
        <w:t>Copyright (c) 2010, 2015 Sonatype, Inc.</w:t>
        <w:br/>
        <w:t>Copyright (c) 2010, 2013 Sonatype, Inc.</w:t>
        <w:br/>
        <w:t>Copyright (c) 2008, 2015 Stuart McCulloch All rights reserved. This program and the accompanying materials are made available under the terms of the Eclipse Public License v1.0</w:t>
        <w:br/>
        <w:t>Copyright (c) 2000-2011 INRIA, France Telecom All rights reserved.</w:t>
        <w:br/>
        <w:t>Copyright (c) 2000-2013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