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perl-LaTeX-ToUnicode 0.55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2010-2022 Gerhard Gossen, Boris Veytsman, Karl Berry</w:t>
        <w:br/>
        <w:t>Copyright 2010-2023 Gerhard Gossen, Boris Veytsman, Karl Berry</w:t>
        <w:b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Artistic-1.0 or GPL-1.0-or-later</w:t>
      </w:r>
    </w:p>
    <w:p>
      <w:pPr>
        <w:spacing w:line="420" w:lineRule="exact"/>
        <w:rPr>
          <w:rFonts w:hint="eastAsia" w:ascii="Arial" w:hAnsi="Arial"/>
          <w:b/>
          <w:sz w:val="24"/>
        </w:rPr>
      </w:pPr>
      <w:r>
        <w:rPr>
          <w:rFonts w:ascii="Times New Roman" w:hAnsi="Times New Roman"/>
          <w:sz w:val="21"/>
        </w:rP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MERCHANTIBILITY AND FITNESS FOR A PARTICULAR PURPOSE.</w:t>
        <w:br/>
        <w:br/>
        <w:b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