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ros-noetic-ros-nodelet_core 1.10.1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 and Apache-2.0 and BSD and MIT and BSL-1.0 and LGPL-2.1-only and MPL-2.0 and GPL-3.0-only and GPL-2.0-or-later and MPL-1.1 and IJG and Zlib and OFL-1.1</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br/>
        <w:br/>
        <w:br/>
        <w:br/>
        <w:br/>
        <w:br/>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