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security_huks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2020-2022 Huawei Device Co., Ltd.</w:t>
        <w:br/>
        <w:t>Copyright (c) 2022-2023 Huawei Device Co., Ltd.</w:t>
        <w:br/>
        <w:t>Copyright (c) 2020-2021 Huawei Device Co., Ltd.</w:t>
        <w:br/>
        <w:t>Copyright (c) 2022 Huawei Device Co., Ltd.</w:t>
        <w:br/>
        <w:t>Copyright (c) 2021-2021 Huawei Device Co., Ltd.</w:t>
        <w:br/>
        <w:t>Copyright (c) 2021-2022 Huawei Device Co., Ltd.</w:t>
        <w:br/>
        <w:t>Copyright (C) 2022 Huawei Device Co., Ltd.</w:t>
        <w:br/>
        <w:t>Copyright (C) 2021 Huawei Device Co., Ltd.</w:t>
        <w:br/>
        <w:t>Copyright (c) 2020 Huawei Device Co., Ltd.</w:t>
        <w:br/>
        <w:t>Copyright (c) 2021 Huawei Device Co., Ltd.</w:t>
        <w:br/>
        <w:t>Copyright (c) 2021-2023 Huawei Device Co., Ltd.</w:t>
        <w:br/>
        <w:t>Copyright (C) 2021-2022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