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7CDE3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666DDD7" w14:textId="77777777" w:rsidR="00D63F71" w:rsidRDefault="00D63F71">
      <w:pPr>
        <w:spacing w:line="420" w:lineRule="exact"/>
        <w:jc w:val="center"/>
        <w:rPr>
          <w:rFonts w:ascii="Arial" w:hAnsi="Arial" w:cs="Arial"/>
          <w:b/>
          <w:snapToGrid/>
          <w:sz w:val="32"/>
          <w:szCs w:val="32"/>
        </w:rPr>
      </w:pPr>
    </w:p>
    <w:p w14:paraId="635981D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BD6A49D" w14:textId="77777777" w:rsidR="00B93B3B" w:rsidRPr="00B93B3B" w:rsidRDefault="00B93B3B" w:rsidP="00B93B3B">
      <w:pPr>
        <w:spacing w:line="420" w:lineRule="exact"/>
        <w:jc w:val="both"/>
        <w:rPr>
          <w:rFonts w:ascii="Arial" w:hAnsi="Arial" w:cs="Arial"/>
          <w:snapToGrid/>
        </w:rPr>
      </w:pPr>
    </w:p>
    <w:p w14:paraId="74760BE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FB27F7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DD1ED00" w14:textId="77777777" w:rsidR="00D63F71" w:rsidRDefault="00D63F71">
      <w:pPr>
        <w:spacing w:line="420" w:lineRule="exact"/>
        <w:jc w:val="both"/>
        <w:rPr>
          <w:rFonts w:ascii="Arial" w:hAnsi="Arial" w:cs="Arial"/>
          <w:i/>
          <w:snapToGrid/>
          <w:color w:val="0099FF"/>
          <w:sz w:val="18"/>
          <w:szCs w:val="18"/>
        </w:rPr>
      </w:pPr>
    </w:p>
    <w:p w14:paraId="697DE5F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DEB8A06" w14:textId="77777777" w:rsidR="00D63F71" w:rsidRDefault="00D63F71">
      <w:pPr>
        <w:pStyle w:val="aa"/>
        <w:spacing w:before="0" w:after="0" w:line="240" w:lineRule="auto"/>
        <w:jc w:val="left"/>
        <w:rPr>
          <w:rFonts w:ascii="Arial" w:hAnsi="Arial" w:cs="Arial"/>
          <w:bCs w:val="0"/>
          <w:sz w:val="21"/>
          <w:szCs w:val="21"/>
        </w:rPr>
      </w:pPr>
    </w:p>
    <w:p w14:paraId="701ACD7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kf5-attica 5.113.0</w:t>
      </w:r>
    </w:p>
    <w:p w14:paraId="4F4A0EEC" w14:textId="77777777" w:rsidR="00D63F71" w:rsidRDefault="005D0DE9">
      <w:pPr>
        <w:rPr>
          <w:rFonts w:ascii="Arial" w:hAnsi="Arial" w:cs="Arial"/>
          <w:b/>
        </w:rPr>
      </w:pPr>
      <w:r>
        <w:rPr>
          <w:rFonts w:ascii="Arial" w:hAnsi="Arial" w:cs="Arial"/>
          <w:b/>
        </w:rPr>
        <w:t xml:space="preserve">Copyright notice: </w:t>
      </w:r>
    </w:p>
    <w:p w14:paraId="672B5DC1" w14:textId="1D245128" w:rsidR="00D63F71" w:rsidRDefault="005D0DE9">
      <w:pPr>
        <w:pStyle w:val="Default"/>
        <w:rPr>
          <w:rFonts w:ascii="宋体" w:hAnsi="宋体" w:cs="宋体"/>
          <w:sz w:val="22"/>
          <w:szCs w:val="22"/>
        </w:rPr>
      </w:pPr>
      <w:r>
        <w:rPr>
          <w:rFonts w:ascii="宋体" w:hAnsi="宋体"/>
          <w:sz w:val="22"/>
        </w:rPr>
        <w:t>SPDX-FileCopyrightText: 2008 Cornelius Schumacher &lt;schumacher@kde.org&gt;</w:t>
      </w:r>
      <w:r>
        <w:rPr>
          <w:rFonts w:ascii="宋体" w:hAnsi="宋体"/>
          <w:sz w:val="22"/>
        </w:rPr>
        <w:br/>
        <w:t>SPDX-FileCopyrightText: 2018 Ralf Habacker &lt;ralf.habacker@freenet.de&gt;</w:t>
      </w:r>
      <w:r>
        <w:rPr>
          <w:rFonts w:ascii="宋体" w:hAnsi="宋体"/>
          <w:sz w:val="22"/>
        </w:rPr>
        <w:br/>
        <w:t>SPDX-FileCopyrightText: 2010 Dan Leinir Turthra Jensen &lt;admin@leinir.dk&gt;</w:t>
      </w:r>
      <w:r>
        <w:rPr>
          <w:rFonts w:ascii="宋体" w:hAnsi="宋体"/>
          <w:sz w:val="22"/>
        </w:rPr>
        <w:br/>
        <w:t>SPDX-FileCopyrightText: 2012 Laszlo Papp &lt;lpapp@kde.org&gt;</w:t>
      </w:r>
      <w:r>
        <w:rPr>
          <w:rFonts w:ascii="宋体" w:hAnsi="宋体"/>
          <w:sz w:val="22"/>
        </w:rPr>
        <w:br/>
        <w:t>Copyright (C) 1991, 1999 Free Software Foundation, Inc.</w:t>
      </w:r>
      <w:r>
        <w:rPr>
          <w:rFonts w:ascii="宋体" w:hAnsi="宋体"/>
          <w:sz w:val="22"/>
        </w:rPr>
        <w:br/>
        <w:t>SPDX-FileCopyrightText: 2009 Marco Martin &lt;notmart@gmail.com&gt;</w:t>
      </w:r>
      <w:r>
        <w:rPr>
          <w:rFonts w:ascii="宋体" w:hAnsi="宋体"/>
          <w:sz w:val="22"/>
        </w:rPr>
        <w:br/>
        <w:t>SPDX-FileCopyrightText: 2011 Dan Leinir Turthra Jensen &lt;admin@leinir.dk&gt;</w:t>
      </w:r>
      <w:r>
        <w:rPr>
          <w:rFonts w:ascii="宋体" w:hAnsi="宋体"/>
          <w:sz w:val="22"/>
        </w:rPr>
        <w:br/>
        <w:t>Copyright (C) &lt; year &gt; &lt; name of author &gt;</w:t>
      </w:r>
      <w:r>
        <w:rPr>
          <w:rFonts w:ascii="宋体" w:hAnsi="宋体"/>
          <w:sz w:val="22"/>
        </w:rPr>
        <w:br/>
        <w:t>SPDX-FileCopyrightText: 2010 Intel Corporation SPDX-FileContributor: Mateu Batle Sastre &lt;mbatle@collabora.co.uk&gt;</w:t>
      </w:r>
      <w:r>
        <w:rPr>
          <w:rFonts w:ascii="宋体" w:hAnsi="宋体"/>
          <w:sz w:val="22"/>
        </w:rPr>
        <w:br/>
        <w:t>SPDX-FileCopyrightText: 2009 Frederik Gladhorn &lt;gladhorn@kde.org&gt;</w:t>
      </w:r>
      <w:r>
        <w:rPr>
          <w:rFonts w:ascii="宋体" w:hAnsi="宋体"/>
          <w:sz w:val="22"/>
        </w:rPr>
        <w:br/>
        <w:t>SPDX-FileCopyrightText: 2011 Laszlo Papp &lt;djszapi@archlinux.us&gt;</w:t>
      </w:r>
      <w:r>
        <w:rPr>
          <w:rFonts w:ascii="宋体" w:hAnsi="宋体"/>
          <w:sz w:val="22"/>
        </w:rPr>
        <w:br/>
        <w:t>SPDX-FileCopyrightText: 2010 Martin Sandsmark &lt;martin.sandsmark@kde.org&gt;</w:t>
      </w:r>
      <w:r>
        <w:rPr>
          <w:rFonts w:ascii="宋体" w:hAnsi="宋体"/>
          <w:sz w:val="22"/>
        </w:rPr>
        <w:br/>
        <w:t>SPDX-FileCopyrightText: 1999 Matthias Kalle Dalheimer &lt;kalle@kde.org&gt;</w:t>
      </w:r>
      <w:r>
        <w:rPr>
          <w:rFonts w:ascii="宋体" w:hAnsi="宋体"/>
          <w:sz w:val="22"/>
        </w:rPr>
        <w:br/>
        <w:t>Copyright (C) year name of author</w:t>
      </w:r>
      <w:r>
        <w:rPr>
          <w:rFonts w:ascii="宋体" w:hAnsi="宋体"/>
          <w:sz w:val="22"/>
        </w:rPr>
        <w:br/>
        <w:t>SPDX-FileCopyrightText: 2005 Joseph Wenninger &lt;kde@jowenn.at&gt;</w:t>
      </w:r>
      <w:r>
        <w:rPr>
          <w:rFonts w:ascii="宋体" w:hAnsi="宋体"/>
          <w:sz w:val="22"/>
        </w:rPr>
        <w:br/>
        <w:t>SPDX-FileCopyrightText: 2010 Sebastian Kügler &lt;sebas@kde.org&gt;</w:t>
      </w:r>
      <w:r>
        <w:rPr>
          <w:rFonts w:ascii="宋体" w:hAnsi="宋体"/>
          <w:sz w:val="22"/>
        </w:rPr>
        <w:br/>
      </w:r>
      <w:r>
        <w:rPr>
          <w:rFonts w:ascii="宋体" w:hAnsi="宋体"/>
          <w:sz w:val="22"/>
        </w:rPr>
        <w:lastRenderedPageBreak/>
        <w:t>SPDX-FileCopyrightText: 2007 Sebastian Trueg &lt;trueg@kde.org&gt;</w:t>
      </w:r>
      <w:r>
        <w:rPr>
          <w:rFonts w:ascii="宋体" w:hAnsi="宋体"/>
          <w:sz w:val="22"/>
        </w:rPr>
        <w:br/>
        <w:t>SPDX-FileCopyrightText: 2010 Frederik Gladhorn &lt;gladhorn@kde.org&gt;</w:t>
      </w:r>
      <w:r>
        <w:rPr>
          <w:rFonts w:ascii="宋体" w:hAnsi="宋体"/>
          <w:sz w:val="22"/>
        </w:rPr>
        <w:br/>
        <w:t>SPDX-FileCopyrightText: 2012 Jeff Mitchell &lt;mitchell@kde.org&gt;</w:t>
      </w:r>
      <w:r>
        <w:rPr>
          <w:rFonts w:ascii="宋体" w:hAnsi="宋体"/>
          <w:sz w:val="22"/>
        </w:rPr>
        <w:br/>
        <w:t>Copyright (C) 2007 Free Software Foundation, Inc. &lt;https:fsf.org/&gt;</w:t>
      </w:r>
      <w:r>
        <w:rPr>
          <w:rFonts w:ascii="宋体" w:hAnsi="宋体"/>
          <w:sz w:val="22"/>
        </w:rPr>
        <w:br/>
        <w:t>SPDX-FileCopyrightText: 2000 Charles Samuels &lt;charles@kde.org&gt;</w:t>
      </w:r>
      <w:r>
        <w:rPr>
          <w:rFonts w:ascii="宋体" w:hAnsi="宋体"/>
          <w:sz w:val="22"/>
        </w:rPr>
        <w:br/>
        <w:t>SPDX-FileCopyrightText: 2009 Eckhart Wörner &lt;ewoerner@kde.org&gt;</w:t>
      </w:r>
      <w:r>
        <w:rPr>
          <w:rFonts w:ascii="宋体" w:hAnsi="宋体"/>
          <w:sz w:val="22"/>
        </w:rPr>
        <w:br/>
      </w:r>
    </w:p>
    <w:p w14:paraId="05B8B625" w14:textId="77777777" w:rsidR="00D63F71" w:rsidRDefault="005D0DE9">
      <w:pPr>
        <w:pStyle w:val="Default"/>
        <w:rPr>
          <w:rFonts w:ascii="宋体" w:hAnsi="宋体" w:cs="宋体"/>
          <w:sz w:val="22"/>
          <w:szCs w:val="22"/>
        </w:rPr>
      </w:pPr>
      <w:r>
        <w:rPr>
          <w:b/>
        </w:rPr>
        <w:t xml:space="preserve">License: </w:t>
      </w:r>
      <w:r>
        <w:rPr>
          <w:sz w:val="21"/>
        </w:rPr>
        <w:t>LGPLv2+</w:t>
      </w:r>
    </w:p>
    <w:p w14:paraId="1A3054AD"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w:t>
      </w:r>
      <w:r>
        <w:rPr>
          <w:rFonts w:ascii="Times New Roman" w:hAnsi="Times New Roman"/>
          <w:sz w:val="21"/>
        </w:rPr>
        <w:lastRenderedPageBreak/>
        <w:t>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 xml:space="preserve">d) If a facility in the modified Library refers to a function or a table of data to be supplied by an application </w:t>
      </w:r>
      <w:r>
        <w:rPr>
          <w:rFonts w:ascii="Times New Roman" w:hAnsi="Times New Roman"/>
          <w:sz w:val="21"/>
        </w:rPr>
        <w:lastRenderedPageBreak/>
        <w:t>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being compiled or linked with it, is called a "work that uses the Library". Such a work, in isolation, is not a </w:t>
      </w:r>
      <w:r>
        <w:rPr>
          <w:rFonts w:ascii="Times New Roman" w:hAnsi="Times New Roman"/>
          <w:sz w:val="21"/>
        </w:rPr>
        <w:lastRenderedPageBreak/>
        <w:t>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 xml:space="preserve">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w:t>
      </w:r>
      <w:r>
        <w:rPr>
          <w:rFonts w:ascii="Times New Roman" w:hAnsi="Times New Roman"/>
          <w:sz w:val="21"/>
        </w:rPr>
        <w:lastRenderedPageBreak/>
        <w:t>(compiler,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w:t>
      </w:r>
      <w:r>
        <w:rPr>
          <w:rFonts w:ascii="Times New Roman" w:hAnsi="Times New Roman"/>
          <w:sz w:val="21"/>
        </w:rPr>
        <w:lastRenderedPageBreak/>
        <w:t>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lastRenderedPageBreak/>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4B2D4345"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27A806A"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09D2DE3"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8F62CF7"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09E72" w14:textId="77777777" w:rsidR="001D0F5E" w:rsidRDefault="001D0F5E">
      <w:pPr>
        <w:spacing w:line="240" w:lineRule="auto"/>
      </w:pPr>
      <w:r>
        <w:separator/>
      </w:r>
    </w:p>
  </w:endnote>
  <w:endnote w:type="continuationSeparator" w:id="0">
    <w:p w14:paraId="1C778E4B" w14:textId="77777777" w:rsidR="001D0F5E" w:rsidRDefault="001D0F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8F21E2C" w14:textId="77777777">
      <w:tc>
        <w:tcPr>
          <w:tcW w:w="1542" w:type="pct"/>
        </w:tcPr>
        <w:p w14:paraId="4A46FDEA" w14:textId="77777777" w:rsidR="00D63F71" w:rsidRDefault="005D0DE9">
          <w:pPr>
            <w:pStyle w:val="a8"/>
          </w:pPr>
          <w:r>
            <w:fldChar w:fldCharType="begin"/>
          </w:r>
          <w:r>
            <w:instrText xml:space="preserve"> DATE \@ "yyyy-MM-dd" </w:instrText>
          </w:r>
          <w:r>
            <w:fldChar w:fldCharType="separate"/>
          </w:r>
          <w:r w:rsidR="006314E5">
            <w:rPr>
              <w:noProof/>
            </w:rPr>
            <w:t>2024-05-20</w:t>
          </w:r>
          <w:r>
            <w:fldChar w:fldCharType="end"/>
          </w:r>
        </w:p>
      </w:tc>
      <w:tc>
        <w:tcPr>
          <w:tcW w:w="1853" w:type="pct"/>
        </w:tcPr>
        <w:p w14:paraId="2087E7C8" w14:textId="77777777" w:rsidR="00D63F71" w:rsidRDefault="00D63F71">
          <w:pPr>
            <w:pStyle w:val="a8"/>
            <w:ind w:firstLineChars="200" w:firstLine="360"/>
          </w:pPr>
        </w:p>
      </w:tc>
      <w:tc>
        <w:tcPr>
          <w:tcW w:w="1605" w:type="pct"/>
        </w:tcPr>
        <w:p w14:paraId="18D39B1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D0F5E">
            <w:fldChar w:fldCharType="begin"/>
          </w:r>
          <w:r w:rsidR="001D0F5E">
            <w:instrText xml:space="preserve"> NUMPAGES  \* Arabic  \* MERGEFORMAT </w:instrText>
          </w:r>
          <w:r w:rsidR="001D0F5E">
            <w:fldChar w:fldCharType="separate"/>
          </w:r>
          <w:r w:rsidR="00B93B3B">
            <w:rPr>
              <w:noProof/>
            </w:rPr>
            <w:t>1</w:t>
          </w:r>
          <w:r w:rsidR="001D0F5E">
            <w:rPr>
              <w:noProof/>
            </w:rPr>
            <w:fldChar w:fldCharType="end"/>
          </w:r>
        </w:p>
      </w:tc>
    </w:tr>
  </w:tbl>
  <w:p w14:paraId="4B7C3CC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BE49B" w14:textId="77777777" w:rsidR="001D0F5E" w:rsidRDefault="001D0F5E">
      <w:r>
        <w:separator/>
      </w:r>
    </w:p>
  </w:footnote>
  <w:footnote w:type="continuationSeparator" w:id="0">
    <w:p w14:paraId="29695972" w14:textId="77777777" w:rsidR="001D0F5E" w:rsidRDefault="001D0F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8DA3AA2" w14:textId="77777777">
      <w:trPr>
        <w:cantSplit/>
        <w:trHeight w:hRule="exact" w:val="777"/>
      </w:trPr>
      <w:tc>
        <w:tcPr>
          <w:tcW w:w="492" w:type="pct"/>
          <w:tcBorders>
            <w:bottom w:val="single" w:sz="6" w:space="0" w:color="auto"/>
          </w:tcBorders>
        </w:tcPr>
        <w:p w14:paraId="138B6C28" w14:textId="77777777" w:rsidR="00D63F71" w:rsidRDefault="00D63F71">
          <w:pPr>
            <w:pStyle w:val="a9"/>
          </w:pPr>
        </w:p>
        <w:p w14:paraId="66C108FB" w14:textId="77777777" w:rsidR="00D63F71" w:rsidRDefault="00D63F71">
          <w:pPr>
            <w:ind w:left="420"/>
          </w:pPr>
        </w:p>
      </w:tc>
      <w:tc>
        <w:tcPr>
          <w:tcW w:w="3283" w:type="pct"/>
          <w:tcBorders>
            <w:bottom w:val="single" w:sz="6" w:space="0" w:color="auto"/>
          </w:tcBorders>
          <w:vAlign w:val="bottom"/>
        </w:tcPr>
        <w:p w14:paraId="168265D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389CF16" w14:textId="77777777" w:rsidR="00D63F71" w:rsidRDefault="00D63F71">
          <w:pPr>
            <w:pStyle w:val="a9"/>
            <w:ind w:firstLine="33"/>
          </w:pPr>
        </w:p>
      </w:tc>
    </w:tr>
  </w:tbl>
  <w:p w14:paraId="6708492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0F5E"/>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314E5"/>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3E32C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4153</Words>
  <Characters>23673</Characters>
  <Application>Microsoft Office Word</Application>
  <DocSecurity>0</DocSecurity>
  <Lines>197</Lines>
  <Paragraphs>55</Paragraphs>
  <ScaleCrop>false</ScaleCrop>
  <Company>Huawei Technologies Co.,Ltd.</Company>
  <LinksUpToDate>false</LinksUpToDate>
  <CharactersWithSpaces>27771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