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perl-DateTime-Locale 1.44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(c) 1991-2015 unicode, inc. all rights reserved. distributed under</w:t>
        <w:br/>
      </w:r>
    </w:p>
    <w:p>
      <w:pPr>
        <w:spacing w:line="420" w:lineRule="exact"/>
        <w:rPr>
          <w:rFonts w:hint="eastAsia"/>
        </w:rPr>
      </w:pPr>
      <w:r>
        <w:rPr>
          <w:rFonts w:ascii="Arial" w:hAnsi="Arial"/>
          <w:b/>
          <w:sz w:val="24"/>
        </w:rPr>
        <w:t xml:space="preserve">License: </w:t>
      </w:r>
      <w:r>
        <w:rPr>
          <w:rFonts w:ascii="Arial" w:hAnsi="Arial"/>
          <w:sz w:val="21"/>
        </w:rPr>
        <w:t>(GPL-1.0-or-later or Artistic-1.0-Perl) and Unicode-DFS-2015</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Â©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br/>
        <w:t>(b) this copyright and permission notice appear in associated documentation, and</w:t>
        <w:br/>
        <w:br/>
        <w:t>(c) there is clear notice in each modified Data File or in the Software as well as in the documentation associated with the Data File(s) or Software that the data or software has been modified.</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