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antlr-maven-plugin 2.2</w:t>
      </w:r>
    </w:p>
    <w:p>
      <w:pPr/>
      <w:r>
        <w:rPr>
          <w:rStyle w:val="13"/>
          <w:rFonts w:ascii="Arial" w:hAnsi="Arial"/>
          <w:b/>
        </w:rPr>
        <w:t xml:space="preserve">Copyright notice: </w:t>
      </w:r>
    </w:p>
    <w:p>
      <w:pPr/>
      <w:r>
        <w:rPr>
          <w:rStyle w:val="13"/>
          <w:rFonts w:ascii="宋体" w:hAnsi="宋体"/>
          <w:sz w:val="22"/>
        </w:rPr>
        <w:t>Copyright (c) 1998-2000, Non,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